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659D1" w14:textId="1EA65AE4" w:rsidR="007D46D9" w:rsidRDefault="00042397" w:rsidP="00042397">
      <w:pPr>
        <w:pStyle w:val="NoSpacing"/>
        <w:jc w:val="center"/>
      </w:pPr>
      <w:r>
        <w:t>Hope College Graduates</w:t>
      </w:r>
    </w:p>
    <w:p w14:paraId="13806F29" w14:textId="5B804E92" w:rsidR="00042397" w:rsidRDefault="00042397" w:rsidP="00042397">
      <w:pPr>
        <w:pStyle w:val="NoSpacing"/>
        <w:jc w:val="center"/>
      </w:pPr>
      <w:r>
        <w:t>Effectiveness Ratings</w:t>
      </w:r>
    </w:p>
    <w:p w14:paraId="645320C3" w14:textId="40FF7D18" w:rsidR="006E00F0" w:rsidRDefault="006E00F0" w:rsidP="00042397">
      <w:pPr>
        <w:pStyle w:val="NoSpacing"/>
        <w:jc w:val="center"/>
      </w:pPr>
      <w:r>
        <w:t>201</w:t>
      </w:r>
      <w:r w:rsidR="00A175B0">
        <w:t>9</w:t>
      </w:r>
      <w:r>
        <w:t>-202</w:t>
      </w:r>
      <w:r w:rsidR="00A175B0">
        <w:t>2</w:t>
      </w:r>
    </w:p>
    <w:p w14:paraId="41352F44" w14:textId="77777777" w:rsidR="00042397" w:rsidRDefault="00042397" w:rsidP="00042397">
      <w:pPr>
        <w:pStyle w:val="NoSpacing"/>
        <w:jc w:val="center"/>
      </w:pPr>
    </w:p>
    <w:p w14:paraId="30632676" w14:textId="77777777" w:rsidR="00042397" w:rsidRDefault="00042397" w:rsidP="00042397">
      <w:pPr>
        <w:pStyle w:val="NoSpacing"/>
      </w:pPr>
      <w:r>
        <w:t>The following chart shows the effectiveness ratings for Hope College Graduates over the last three years.  This data is provided by the Michigan Department of Education (MDE) as part of the Educator Preparer Index (EPI) scores.  Public school teachers in the state of Michigan are given an end of year rating of either Highly Effective (HE), Effective (E), Minimally Effective (ME), or Ineffective (I) by their district.</w:t>
      </w:r>
    </w:p>
    <w:p w14:paraId="66C73FC7" w14:textId="77777777" w:rsidR="00042397" w:rsidRDefault="00042397" w:rsidP="00042397">
      <w:pPr>
        <w:pStyle w:val="NoSpacing"/>
      </w:pPr>
    </w:p>
    <w:tbl>
      <w:tblPr>
        <w:tblStyle w:val="TableGrid"/>
        <w:tblW w:w="9540" w:type="dxa"/>
        <w:jc w:val="center"/>
        <w:tblLook w:val="04A0" w:firstRow="1" w:lastRow="0" w:firstColumn="1" w:lastColumn="0" w:noHBand="0" w:noVBand="1"/>
      </w:tblPr>
      <w:tblGrid>
        <w:gridCol w:w="1590"/>
        <w:gridCol w:w="1590"/>
        <w:gridCol w:w="1590"/>
        <w:gridCol w:w="1590"/>
        <w:gridCol w:w="1590"/>
        <w:gridCol w:w="1590"/>
      </w:tblGrid>
      <w:tr w:rsidR="00042397" w14:paraId="6ACF72C8" w14:textId="77777777" w:rsidTr="00042397">
        <w:trPr>
          <w:trHeight w:val="537"/>
          <w:jc w:val="center"/>
        </w:trPr>
        <w:tc>
          <w:tcPr>
            <w:tcW w:w="1590" w:type="dxa"/>
          </w:tcPr>
          <w:p w14:paraId="04E69701" w14:textId="77777777" w:rsidR="00042397" w:rsidRDefault="00042397" w:rsidP="00042397">
            <w:pPr>
              <w:pStyle w:val="NoSpacing"/>
              <w:jc w:val="center"/>
            </w:pPr>
          </w:p>
        </w:tc>
        <w:tc>
          <w:tcPr>
            <w:tcW w:w="1590" w:type="dxa"/>
          </w:tcPr>
          <w:p w14:paraId="1D3BAF72" w14:textId="77777777" w:rsidR="00042397" w:rsidRPr="00042397" w:rsidRDefault="00042397" w:rsidP="00042397">
            <w:pPr>
              <w:pStyle w:val="NoSpacing"/>
              <w:jc w:val="center"/>
              <w:rPr>
                <w:b/>
              </w:rPr>
            </w:pPr>
            <w:r w:rsidRPr="00042397">
              <w:rPr>
                <w:b/>
              </w:rPr>
              <w:t>1</w:t>
            </w:r>
            <w:r w:rsidRPr="00042397">
              <w:rPr>
                <w:b/>
                <w:vertAlign w:val="superscript"/>
              </w:rPr>
              <w:t>st</w:t>
            </w:r>
            <w:r w:rsidRPr="00042397">
              <w:rPr>
                <w:b/>
              </w:rPr>
              <w:t xml:space="preserve"> year out</w:t>
            </w:r>
          </w:p>
        </w:tc>
        <w:tc>
          <w:tcPr>
            <w:tcW w:w="1590" w:type="dxa"/>
          </w:tcPr>
          <w:p w14:paraId="15C67717" w14:textId="77777777" w:rsidR="00042397" w:rsidRPr="00042397" w:rsidRDefault="00042397" w:rsidP="00042397">
            <w:pPr>
              <w:pStyle w:val="NoSpacing"/>
              <w:jc w:val="center"/>
              <w:rPr>
                <w:b/>
              </w:rPr>
            </w:pPr>
            <w:r w:rsidRPr="00042397">
              <w:rPr>
                <w:b/>
              </w:rPr>
              <w:t>2</w:t>
            </w:r>
            <w:r w:rsidRPr="00042397">
              <w:rPr>
                <w:b/>
                <w:vertAlign w:val="superscript"/>
              </w:rPr>
              <w:t>nd</w:t>
            </w:r>
            <w:r w:rsidRPr="00042397">
              <w:rPr>
                <w:b/>
              </w:rPr>
              <w:t xml:space="preserve"> year out</w:t>
            </w:r>
          </w:p>
        </w:tc>
        <w:tc>
          <w:tcPr>
            <w:tcW w:w="1590" w:type="dxa"/>
          </w:tcPr>
          <w:p w14:paraId="79D37C8D" w14:textId="77777777" w:rsidR="00042397" w:rsidRPr="00042397" w:rsidRDefault="00042397" w:rsidP="00042397">
            <w:pPr>
              <w:pStyle w:val="NoSpacing"/>
              <w:jc w:val="center"/>
              <w:rPr>
                <w:b/>
              </w:rPr>
            </w:pPr>
            <w:r w:rsidRPr="00042397">
              <w:rPr>
                <w:b/>
              </w:rPr>
              <w:t>3</w:t>
            </w:r>
            <w:r w:rsidRPr="00042397">
              <w:rPr>
                <w:b/>
                <w:vertAlign w:val="superscript"/>
              </w:rPr>
              <w:t>rd</w:t>
            </w:r>
            <w:r w:rsidRPr="00042397">
              <w:rPr>
                <w:b/>
              </w:rPr>
              <w:t xml:space="preserve"> year out</w:t>
            </w:r>
          </w:p>
        </w:tc>
        <w:tc>
          <w:tcPr>
            <w:tcW w:w="1590" w:type="dxa"/>
          </w:tcPr>
          <w:p w14:paraId="415E2D33" w14:textId="77777777" w:rsidR="00042397" w:rsidRPr="00042397" w:rsidRDefault="00042397" w:rsidP="00042397">
            <w:pPr>
              <w:pStyle w:val="NoSpacing"/>
              <w:jc w:val="center"/>
              <w:rPr>
                <w:b/>
              </w:rPr>
            </w:pPr>
            <w:r w:rsidRPr="00042397">
              <w:rPr>
                <w:b/>
              </w:rPr>
              <w:t>Total</w:t>
            </w:r>
          </w:p>
        </w:tc>
        <w:tc>
          <w:tcPr>
            <w:tcW w:w="1590" w:type="dxa"/>
          </w:tcPr>
          <w:p w14:paraId="54F8E0A8" w14:textId="77777777" w:rsidR="00042397" w:rsidRPr="00042397" w:rsidRDefault="00042397" w:rsidP="00042397">
            <w:pPr>
              <w:pStyle w:val="NoSpacing"/>
              <w:jc w:val="center"/>
              <w:rPr>
                <w:b/>
              </w:rPr>
            </w:pPr>
            <w:r w:rsidRPr="00042397">
              <w:rPr>
                <w:b/>
              </w:rPr>
              <w:t>% of Total</w:t>
            </w:r>
          </w:p>
        </w:tc>
      </w:tr>
      <w:tr w:rsidR="00042397" w14:paraId="2B551861" w14:textId="77777777" w:rsidTr="00042397">
        <w:trPr>
          <w:trHeight w:val="537"/>
          <w:jc w:val="center"/>
        </w:trPr>
        <w:tc>
          <w:tcPr>
            <w:tcW w:w="1590" w:type="dxa"/>
          </w:tcPr>
          <w:p w14:paraId="3373561F" w14:textId="77777777" w:rsidR="00042397" w:rsidRPr="00042397" w:rsidRDefault="00042397" w:rsidP="00042397">
            <w:pPr>
              <w:pStyle w:val="NoSpacing"/>
              <w:jc w:val="center"/>
              <w:rPr>
                <w:b/>
              </w:rPr>
            </w:pPr>
            <w:r w:rsidRPr="00042397">
              <w:rPr>
                <w:b/>
              </w:rPr>
              <w:t>HE</w:t>
            </w:r>
          </w:p>
        </w:tc>
        <w:tc>
          <w:tcPr>
            <w:tcW w:w="1590" w:type="dxa"/>
          </w:tcPr>
          <w:p w14:paraId="6ABBB9A7" w14:textId="48C0C52E" w:rsidR="00042397" w:rsidRDefault="00A175B0" w:rsidP="00042397">
            <w:pPr>
              <w:pStyle w:val="NoSpacing"/>
              <w:jc w:val="center"/>
            </w:pPr>
            <w:r>
              <w:t>48</w:t>
            </w:r>
          </w:p>
        </w:tc>
        <w:tc>
          <w:tcPr>
            <w:tcW w:w="1590" w:type="dxa"/>
          </w:tcPr>
          <w:p w14:paraId="3ECE2611" w14:textId="537153BF" w:rsidR="00042397" w:rsidRDefault="00A175B0" w:rsidP="00042397">
            <w:pPr>
              <w:pStyle w:val="NoSpacing"/>
              <w:jc w:val="center"/>
            </w:pPr>
            <w:r>
              <w:t>23</w:t>
            </w:r>
          </w:p>
        </w:tc>
        <w:tc>
          <w:tcPr>
            <w:tcW w:w="1590" w:type="dxa"/>
          </w:tcPr>
          <w:p w14:paraId="05973152" w14:textId="56957A7C" w:rsidR="00042397" w:rsidRDefault="00A175B0" w:rsidP="00042397">
            <w:pPr>
              <w:pStyle w:val="NoSpacing"/>
              <w:jc w:val="center"/>
            </w:pPr>
            <w:r>
              <w:t>22</w:t>
            </w:r>
          </w:p>
        </w:tc>
        <w:tc>
          <w:tcPr>
            <w:tcW w:w="1590" w:type="dxa"/>
          </w:tcPr>
          <w:p w14:paraId="144BD3C9" w14:textId="441E4002" w:rsidR="00042397" w:rsidRDefault="00A175B0" w:rsidP="00042397">
            <w:pPr>
              <w:pStyle w:val="NoSpacing"/>
              <w:jc w:val="center"/>
            </w:pPr>
            <w:r>
              <w:t>93</w:t>
            </w:r>
          </w:p>
        </w:tc>
        <w:tc>
          <w:tcPr>
            <w:tcW w:w="1590" w:type="dxa"/>
          </w:tcPr>
          <w:p w14:paraId="3C0873F3" w14:textId="16699725" w:rsidR="00042397" w:rsidRDefault="006E00F0" w:rsidP="00042397">
            <w:pPr>
              <w:pStyle w:val="NoSpacing"/>
              <w:jc w:val="center"/>
            </w:pPr>
            <w:r>
              <w:t>19.</w:t>
            </w:r>
            <w:r w:rsidR="00A175B0">
              <w:t>7</w:t>
            </w:r>
            <w:r>
              <w:t>%</w:t>
            </w:r>
          </w:p>
        </w:tc>
      </w:tr>
      <w:tr w:rsidR="00042397" w14:paraId="52FD6AC6" w14:textId="77777777" w:rsidTr="00042397">
        <w:trPr>
          <w:trHeight w:val="514"/>
          <w:jc w:val="center"/>
        </w:trPr>
        <w:tc>
          <w:tcPr>
            <w:tcW w:w="1590" w:type="dxa"/>
          </w:tcPr>
          <w:p w14:paraId="7A9518AD" w14:textId="77777777" w:rsidR="00042397" w:rsidRPr="00042397" w:rsidRDefault="00042397" w:rsidP="00042397">
            <w:pPr>
              <w:pStyle w:val="NoSpacing"/>
              <w:jc w:val="center"/>
              <w:rPr>
                <w:b/>
              </w:rPr>
            </w:pPr>
            <w:r w:rsidRPr="00042397">
              <w:rPr>
                <w:b/>
              </w:rPr>
              <w:t>E</w:t>
            </w:r>
          </w:p>
        </w:tc>
        <w:tc>
          <w:tcPr>
            <w:tcW w:w="1590" w:type="dxa"/>
          </w:tcPr>
          <w:p w14:paraId="44E0A413" w14:textId="71674F5C" w:rsidR="00042397" w:rsidRDefault="00A175B0" w:rsidP="00042397">
            <w:pPr>
              <w:pStyle w:val="NoSpacing"/>
              <w:jc w:val="center"/>
            </w:pPr>
            <w:r>
              <w:t>211</w:t>
            </w:r>
          </w:p>
        </w:tc>
        <w:tc>
          <w:tcPr>
            <w:tcW w:w="1590" w:type="dxa"/>
          </w:tcPr>
          <w:p w14:paraId="79035739" w14:textId="23C1165A" w:rsidR="00042397" w:rsidRDefault="00A175B0" w:rsidP="00042397">
            <w:pPr>
              <w:pStyle w:val="NoSpacing"/>
              <w:jc w:val="center"/>
            </w:pPr>
            <w:r>
              <w:t>116</w:t>
            </w:r>
          </w:p>
        </w:tc>
        <w:tc>
          <w:tcPr>
            <w:tcW w:w="1590" w:type="dxa"/>
          </w:tcPr>
          <w:p w14:paraId="10361C3F" w14:textId="56E2B27F" w:rsidR="00042397" w:rsidRDefault="00A175B0" w:rsidP="00042397">
            <w:pPr>
              <w:pStyle w:val="NoSpacing"/>
              <w:jc w:val="center"/>
            </w:pPr>
            <w:r>
              <w:t>48</w:t>
            </w:r>
          </w:p>
        </w:tc>
        <w:tc>
          <w:tcPr>
            <w:tcW w:w="1590" w:type="dxa"/>
          </w:tcPr>
          <w:p w14:paraId="06E65E27" w14:textId="4833810D" w:rsidR="00042397" w:rsidRDefault="00A175B0" w:rsidP="00042397">
            <w:pPr>
              <w:pStyle w:val="NoSpacing"/>
              <w:jc w:val="center"/>
            </w:pPr>
            <w:r>
              <w:t>375</w:t>
            </w:r>
          </w:p>
        </w:tc>
        <w:tc>
          <w:tcPr>
            <w:tcW w:w="1590" w:type="dxa"/>
          </w:tcPr>
          <w:p w14:paraId="4EB6B9A9" w14:textId="5CE5985A" w:rsidR="00042397" w:rsidRDefault="006E00F0" w:rsidP="00042397">
            <w:pPr>
              <w:pStyle w:val="NoSpacing"/>
              <w:jc w:val="center"/>
            </w:pPr>
            <w:r>
              <w:t>79.</w:t>
            </w:r>
            <w:r w:rsidR="00A175B0">
              <w:t>6</w:t>
            </w:r>
            <w:r>
              <w:t>%</w:t>
            </w:r>
          </w:p>
        </w:tc>
      </w:tr>
      <w:tr w:rsidR="00042397" w14:paraId="0104C191" w14:textId="77777777" w:rsidTr="00042397">
        <w:trPr>
          <w:trHeight w:val="537"/>
          <w:jc w:val="center"/>
        </w:trPr>
        <w:tc>
          <w:tcPr>
            <w:tcW w:w="1590" w:type="dxa"/>
          </w:tcPr>
          <w:p w14:paraId="5EF61AB9" w14:textId="77777777" w:rsidR="00042397" w:rsidRPr="00042397" w:rsidRDefault="00042397" w:rsidP="00042397">
            <w:pPr>
              <w:pStyle w:val="NoSpacing"/>
              <w:jc w:val="center"/>
              <w:rPr>
                <w:b/>
              </w:rPr>
            </w:pPr>
            <w:r w:rsidRPr="00042397">
              <w:rPr>
                <w:b/>
              </w:rPr>
              <w:t>ME</w:t>
            </w:r>
          </w:p>
        </w:tc>
        <w:tc>
          <w:tcPr>
            <w:tcW w:w="1590" w:type="dxa"/>
          </w:tcPr>
          <w:p w14:paraId="226C2185" w14:textId="4BA1F1DB" w:rsidR="00042397" w:rsidRDefault="00A175B0" w:rsidP="00042397">
            <w:pPr>
              <w:pStyle w:val="NoSpacing"/>
              <w:jc w:val="center"/>
            </w:pPr>
            <w:r>
              <w:t>3</w:t>
            </w:r>
          </w:p>
        </w:tc>
        <w:tc>
          <w:tcPr>
            <w:tcW w:w="1590" w:type="dxa"/>
          </w:tcPr>
          <w:p w14:paraId="294EBDE4" w14:textId="00486854" w:rsidR="00042397" w:rsidRDefault="00A175B0" w:rsidP="00042397">
            <w:pPr>
              <w:pStyle w:val="NoSpacing"/>
              <w:jc w:val="center"/>
            </w:pPr>
            <w:r>
              <w:t>0</w:t>
            </w:r>
          </w:p>
        </w:tc>
        <w:tc>
          <w:tcPr>
            <w:tcW w:w="1590" w:type="dxa"/>
          </w:tcPr>
          <w:p w14:paraId="4CD78DBF" w14:textId="77777777" w:rsidR="00042397" w:rsidRDefault="00042397" w:rsidP="00042397">
            <w:pPr>
              <w:pStyle w:val="NoSpacing"/>
              <w:jc w:val="center"/>
            </w:pPr>
            <w:r>
              <w:t>0</w:t>
            </w:r>
          </w:p>
        </w:tc>
        <w:tc>
          <w:tcPr>
            <w:tcW w:w="1590" w:type="dxa"/>
          </w:tcPr>
          <w:p w14:paraId="0465C1E4" w14:textId="796FB3BB" w:rsidR="00042397" w:rsidRDefault="00A175B0" w:rsidP="00042397">
            <w:pPr>
              <w:pStyle w:val="NoSpacing"/>
              <w:jc w:val="center"/>
            </w:pPr>
            <w:r>
              <w:t>3</w:t>
            </w:r>
          </w:p>
        </w:tc>
        <w:tc>
          <w:tcPr>
            <w:tcW w:w="1590" w:type="dxa"/>
          </w:tcPr>
          <w:p w14:paraId="4ECBF1B6" w14:textId="7940B184" w:rsidR="00042397" w:rsidRDefault="00A175B0" w:rsidP="00042397">
            <w:pPr>
              <w:pStyle w:val="NoSpacing"/>
              <w:jc w:val="center"/>
            </w:pPr>
            <w:r>
              <w:t>0.7</w:t>
            </w:r>
            <w:r w:rsidR="006E00F0">
              <w:t>%</w:t>
            </w:r>
          </w:p>
        </w:tc>
      </w:tr>
      <w:tr w:rsidR="00042397" w14:paraId="75200599" w14:textId="77777777" w:rsidTr="00042397">
        <w:trPr>
          <w:trHeight w:val="537"/>
          <w:jc w:val="center"/>
        </w:trPr>
        <w:tc>
          <w:tcPr>
            <w:tcW w:w="1590" w:type="dxa"/>
          </w:tcPr>
          <w:p w14:paraId="2E82811D" w14:textId="77777777" w:rsidR="00042397" w:rsidRPr="00042397" w:rsidRDefault="00042397" w:rsidP="00042397">
            <w:pPr>
              <w:pStyle w:val="NoSpacing"/>
              <w:jc w:val="center"/>
              <w:rPr>
                <w:b/>
              </w:rPr>
            </w:pPr>
            <w:r w:rsidRPr="00042397">
              <w:rPr>
                <w:b/>
              </w:rPr>
              <w:t>I</w:t>
            </w:r>
          </w:p>
        </w:tc>
        <w:tc>
          <w:tcPr>
            <w:tcW w:w="1590" w:type="dxa"/>
          </w:tcPr>
          <w:p w14:paraId="5F9FFA2B" w14:textId="77777777" w:rsidR="00042397" w:rsidRDefault="00042397" w:rsidP="00042397">
            <w:pPr>
              <w:pStyle w:val="NoSpacing"/>
              <w:jc w:val="center"/>
            </w:pPr>
            <w:r>
              <w:t>0</w:t>
            </w:r>
          </w:p>
        </w:tc>
        <w:tc>
          <w:tcPr>
            <w:tcW w:w="1590" w:type="dxa"/>
          </w:tcPr>
          <w:p w14:paraId="174D37A6" w14:textId="77777777" w:rsidR="00042397" w:rsidRDefault="00042397" w:rsidP="00042397">
            <w:pPr>
              <w:pStyle w:val="NoSpacing"/>
              <w:jc w:val="center"/>
            </w:pPr>
            <w:r>
              <w:t>0</w:t>
            </w:r>
          </w:p>
        </w:tc>
        <w:tc>
          <w:tcPr>
            <w:tcW w:w="1590" w:type="dxa"/>
          </w:tcPr>
          <w:p w14:paraId="085CAC61" w14:textId="77777777" w:rsidR="00042397" w:rsidRDefault="00042397" w:rsidP="00042397">
            <w:pPr>
              <w:pStyle w:val="NoSpacing"/>
              <w:jc w:val="center"/>
            </w:pPr>
            <w:r>
              <w:t>0</w:t>
            </w:r>
          </w:p>
        </w:tc>
        <w:tc>
          <w:tcPr>
            <w:tcW w:w="1590" w:type="dxa"/>
          </w:tcPr>
          <w:p w14:paraId="664DCD3E" w14:textId="77777777" w:rsidR="00042397" w:rsidRDefault="00042397" w:rsidP="00042397">
            <w:pPr>
              <w:pStyle w:val="NoSpacing"/>
              <w:jc w:val="center"/>
            </w:pPr>
            <w:r>
              <w:t>0</w:t>
            </w:r>
          </w:p>
        </w:tc>
        <w:tc>
          <w:tcPr>
            <w:tcW w:w="1590" w:type="dxa"/>
          </w:tcPr>
          <w:p w14:paraId="51C7B2B7" w14:textId="77777777" w:rsidR="00042397" w:rsidRDefault="00042397" w:rsidP="00042397">
            <w:pPr>
              <w:pStyle w:val="NoSpacing"/>
              <w:jc w:val="center"/>
            </w:pPr>
            <w:r>
              <w:t>0%</w:t>
            </w:r>
          </w:p>
        </w:tc>
      </w:tr>
    </w:tbl>
    <w:p w14:paraId="6883A6BB" w14:textId="77777777" w:rsidR="00042397" w:rsidRDefault="00042397" w:rsidP="00042397">
      <w:pPr>
        <w:pStyle w:val="NoSpacing"/>
      </w:pPr>
    </w:p>
    <w:p w14:paraId="1DA0405B" w14:textId="77777777" w:rsidR="00042397" w:rsidRDefault="00042397" w:rsidP="00042397">
      <w:pPr>
        <w:pStyle w:val="NoSpacing"/>
      </w:pPr>
    </w:p>
    <w:p w14:paraId="27D1B688" w14:textId="203130BD" w:rsidR="00042397" w:rsidRDefault="00042397" w:rsidP="00042397">
      <w:pPr>
        <w:pStyle w:val="NoSpacing"/>
      </w:pPr>
      <w:r>
        <w:t xml:space="preserve">We use this data for both Measure 1-Impact </w:t>
      </w:r>
      <w:r w:rsidR="0088631F">
        <w:t>on P-12 learning and development</w:t>
      </w:r>
      <w:r>
        <w:t xml:space="preserve"> and Measure 2</w:t>
      </w:r>
      <w:r w:rsidR="0088631F">
        <w:t xml:space="preserve">-Indicators of Teaching Effectiveness.  </w:t>
      </w:r>
      <w:r w:rsidR="00A175B0">
        <w:t>99.3</w:t>
      </w:r>
      <w:r w:rsidR="0088631F">
        <w:t>% of Hope College graduates earn either an Effective or Highly Effective rating from their evaluator in their district.</w:t>
      </w:r>
      <w:bookmarkStart w:id="0" w:name="_GoBack"/>
      <w:bookmarkEnd w:id="0"/>
    </w:p>
    <w:p w14:paraId="33544038" w14:textId="77777777" w:rsidR="0088631F" w:rsidRDefault="0088631F" w:rsidP="00042397">
      <w:pPr>
        <w:pStyle w:val="NoSpacing"/>
      </w:pPr>
    </w:p>
    <w:p w14:paraId="423082C1" w14:textId="77777777" w:rsidR="0088631F" w:rsidRDefault="0088631F" w:rsidP="00042397">
      <w:pPr>
        <w:pStyle w:val="NoSpacing"/>
      </w:pPr>
      <w:r>
        <w:t>Measure 1 -With a strong correlation between the Student Growth Score and Final Effectiveness Score as proven with our case study, we feel that our graduates have an extremely high impact on P-12 learning and development.</w:t>
      </w:r>
    </w:p>
    <w:p w14:paraId="5A14FADB" w14:textId="77777777" w:rsidR="0088631F" w:rsidRDefault="0088631F" w:rsidP="00042397">
      <w:pPr>
        <w:pStyle w:val="NoSpacing"/>
      </w:pPr>
    </w:p>
    <w:p w14:paraId="71E88E1B" w14:textId="33D55786" w:rsidR="0088631F" w:rsidRDefault="0088631F" w:rsidP="00042397">
      <w:pPr>
        <w:pStyle w:val="NoSpacing"/>
      </w:pPr>
      <w:r>
        <w:t xml:space="preserve">Measure 2 -With </w:t>
      </w:r>
      <w:r w:rsidR="00A175B0">
        <w:t>99.3</w:t>
      </w:r>
      <w:r>
        <w:t>% of Hope College graduates earning either an Effective or Highly Effective rating on their end of year evaluation, we feel that our graduate</w:t>
      </w:r>
      <w:r w:rsidR="00A175B0">
        <w:t>s</w:t>
      </w:r>
      <w:r>
        <w:t xml:space="preserve"> show a high level of teaching effectiveness.</w:t>
      </w:r>
    </w:p>
    <w:sectPr w:rsidR="00886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397"/>
    <w:rsid w:val="000003AF"/>
    <w:rsid w:val="00012993"/>
    <w:rsid w:val="00026C00"/>
    <w:rsid w:val="00030265"/>
    <w:rsid w:val="000321DE"/>
    <w:rsid w:val="00035AAE"/>
    <w:rsid w:val="00042397"/>
    <w:rsid w:val="00056A6A"/>
    <w:rsid w:val="00067BFF"/>
    <w:rsid w:val="00092B27"/>
    <w:rsid w:val="00096261"/>
    <w:rsid w:val="000A6AD8"/>
    <w:rsid w:val="000D089C"/>
    <w:rsid w:val="000D0E76"/>
    <w:rsid w:val="000F4842"/>
    <w:rsid w:val="00106F8B"/>
    <w:rsid w:val="0011237B"/>
    <w:rsid w:val="001243D2"/>
    <w:rsid w:val="0013139D"/>
    <w:rsid w:val="00131AC0"/>
    <w:rsid w:val="001479C6"/>
    <w:rsid w:val="00152F98"/>
    <w:rsid w:val="0016344D"/>
    <w:rsid w:val="00174C44"/>
    <w:rsid w:val="00177A46"/>
    <w:rsid w:val="00180570"/>
    <w:rsid w:val="0018544F"/>
    <w:rsid w:val="00185985"/>
    <w:rsid w:val="001A154D"/>
    <w:rsid w:val="001B4981"/>
    <w:rsid w:val="001C0485"/>
    <w:rsid w:val="001D2EB6"/>
    <w:rsid w:val="001D5787"/>
    <w:rsid w:val="001D6851"/>
    <w:rsid w:val="001F1021"/>
    <w:rsid w:val="001F1AD7"/>
    <w:rsid w:val="001F775D"/>
    <w:rsid w:val="00204131"/>
    <w:rsid w:val="0021031C"/>
    <w:rsid w:val="00210FD5"/>
    <w:rsid w:val="002177C5"/>
    <w:rsid w:val="00222704"/>
    <w:rsid w:val="0022356F"/>
    <w:rsid w:val="00225E72"/>
    <w:rsid w:val="00242008"/>
    <w:rsid w:val="0024267B"/>
    <w:rsid w:val="002516F7"/>
    <w:rsid w:val="0025594C"/>
    <w:rsid w:val="002727F9"/>
    <w:rsid w:val="002750D7"/>
    <w:rsid w:val="00276BE3"/>
    <w:rsid w:val="002837D0"/>
    <w:rsid w:val="002A001F"/>
    <w:rsid w:val="002A0F0E"/>
    <w:rsid w:val="002A506C"/>
    <w:rsid w:val="002A5560"/>
    <w:rsid w:val="002B49DC"/>
    <w:rsid w:val="002C639A"/>
    <w:rsid w:val="002E2300"/>
    <w:rsid w:val="002E4B9C"/>
    <w:rsid w:val="002E642D"/>
    <w:rsid w:val="002E705D"/>
    <w:rsid w:val="0030278B"/>
    <w:rsid w:val="003156AA"/>
    <w:rsid w:val="003234C0"/>
    <w:rsid w:val="0033583E"/>
    <w:rsid w:val="00342515"/>
    <w:rsid w:val="00343413"/>
    <w:rsid w:val="00343516"/>
    <w:rsid w:val="00346CFD"/>
    <w:rsid w:val="003644BA"/>
    <w:rsid w:val="00364D46"/>
    <w:rsid w:val="00370CB2"/>
    <w:rsid w:val="003810D4"/>
    <w:rsid w:val="0038292C"/>
    <w:rsid w:val="0038683F"/>
    <w:rsid w:val="00393FEE"/>
    <w:rsid w:val="00396F46"/>
    <w:rsid w:val="003A54C8"/>
    <w:rsid w:val="003B5299"/>
    <w:rsid w:val="003D21B0"/>
    <w:rsid w:val="003E2CB2"/>
    <w:rsid w:val="003F27EA"/>
    <w:rsid w:val="0040343D"/>
    <w:rsid w:val="00411016"/>
    <w:rsid w:val="004260DF"/>
    <w:rsid w:val="00432396"/>
    <w:rsid w:val="00442612"/>
    <w:rsid w:val="00446748"/>
    <w:rsid w:val="00447488"/>
    <w:rsid w:val="00451BF4"/>
    <w:rsid w:val="00452309"/>
    <w:rsid w:val="00455E8A"/>
    <w:rsid w:val="00470820"/>
    <w:rsid w:val="00483687"/>
    <w:rsid w:val="0048524B"/>
    <w:rsid w:val="0049579E"/>
    <w:rsid w:val="00497D63"/>
    <w:rsid w:val="004C018B"/>
    <w:rsid w:val="004C3281"/>
    <w:rsid w:val="004D5AD0"/>
    <w:rsid w:val="004D6F3A"/>
    <w:rsid w:val="004E323B"/>
    <w:rsid w:val="004F1657"/>
    <w:rsid w:val="004F4488"/>
    <w:rsid w:val="004F4BBD"/>
    <w:rsid w:val="00504992"/>
    <w:rsid w:val="0050575A"/>
    <w:rsid w:val="00512911"/>
    <w:rsid w:val="005164BA"/>
    <w:rsid w:val="0052266F"/>
    <w:rsid w:val="00532FCB"/>
    <w:rsid w:val="0053350F"/>
    <w:rsid w:val="00544603"/>
    <w:rsid w:val="00546A82"/>
    <w:rsid w:val="00551455"/>
    <w:rsid w:val="005547B5"/>
    <w:rsid w:val="00565C67"/>
    <w:rsid w:val="00587389"/>
    <w:rsid w:val="005874D8"/>
    <w:rsid w:val="005962E0"/>
    <w:rsid w:val="005A22E5"/>
    <w:rsid w:val="005B064E"/>
    <w:rsid w:val="005B0759"/>
    <w:rsid w:val="005B652D"/>
    <w:rsid w:val="005B6782"/>
    <w:rsid w:val="005D1E4F"/>
    <w:rsid w:val="005E16D3"/>
    <w:rsid w:val="005E2431"/>
    <w:rsid w:val="005E6DDC"/>
    <w:rsid w:val="006011ED"/>
    <w:rsid w:val="006022A1"/>
    <w:rsid w:val="00612171"/>
    <w:rsid w:val="00616029"/>
    <w:rsid w:val="00617584"/>
    <w:rsid w:val="0063558A"/>
    <w:rsid w:val="0064333F"/>
    <w:rsid w:val="006465E1"/>
    <w:rsid w:val="00653B33"/>
    <w:rsid w:val="00655C17"/>
    <w:rsid w:val="006616B6"/>
    <w:rsid w:val="006A66F0"/>
    <w:rsid w:val="006A6938"/>
    <w:rsid w:val="006B1F4F"/>
    <w:rsid w:val="006B2B46"/>
    <w:rsid w:val="006B50C4"/>
    <w:rsid w:val="006C1B8F"/>
    <w:rsid w:val="006C5DCB"/>
    <w:rsid w:val="006D248C"/>
    <w:rsid w:val="006E00F0"/>
    <w:rsid w:val="006E31FC"/>
    <w:rsid w:val="006F1A3E"/>
    <w:rsid w:val="00701ACB"/>
    <w:rsid w:val="00724314"/>
    <w:rsid w:val="007335AE"/>
    <w:rsid w:val="00744DCD"/>
    <w:rsid w:val="00747C5F"/>
    <w:rsid w:val="00750D02"/>
    <w:rsid w:val="00752408"/>
    <w:rsid w:val="00761998"/>
    <w:rsid w:val="00776670"/>
    <w:rsid w:val="00780B75"/>
    <w:rsid w:val="007867CB"/>
    <w:rsid w:val="007B6DDB"/>
    <w:rsid w:val="007C3A27"/>
    <w:rsid w:val="007C5F65"/>
    <w:rsid w:val="007D0428"/>
    <w:rsid w:val="007D46D9"/>
    <w:rsid w:val="00803F7C"/>
    <w:rsid w:val="00804111"/>
    <w:rsid w:val="00815EFB"/>
    <w:rsid w:val="00832427"/>
    <w:rsid w:val="008349B9"/>
    <w:rsid w:val="00834E29"/>
    <w:rsid w:val="008405AA"/>
    <w:rsid w:val="00853A4E"/>
    <w:rsid w:val="008602F9"/>
    <w:rsid w:val="0086550D"/>
    <w:rsid w:val="00872BE8"/>
    <w:rsid w:val="0088579B"/>
    <w:rsid w:val="0088631F"/>
    <w:rsid w:val="00893771"/>
    <w:rsid w:val="008A0D3B"/>
    <w:rsid w:val="008A2E9B"/>
    <w:rsid w:val="008C53A2"/>
    <w:rsid w:val="008D3F37"/>
    <w:rsid w:val="008E0101"/>
    <w:rsid w:val="008E2EE2"/>
    <w:rsid w:val="008E501C"/>
    <w:rsid w:val="008E6848"/>
    <w:rsid w:val="008F0465"/>
    <w:rsid w:val="008F24D3"/>
    <w:rsid w:val="008F4197"/>
    <w:rsid w:val="008F61CE"/>
    <w:rsid w:val="008F7619"/>
    <w:rsid w:val="00900668"/>
    <w:rsid w:val="00904069"/>
    <w:rsid w:val="009230D5"/>
    <w:rsid w:val="00934C30"/>
    <w:rsid w:val="00944D86"/>
    <w:rsid w:val="009506CD"/>
    <w:rsid w:val="00953B27"/>
    <w:rsid w:val="00961E71"/>
    <w:rsid w:val="00965967"/>
    <w:rsid w:val="009663FA"/>
    <w:rsid w:val="00967B60"/>
    <w:rsid w:val="009906FB"/>
    <w:rsid w:val="00994600"/>
    <w:rsid w:val="00994C4D"/>
    <w:rsid w:val="009A76D3"/>
    <w:rsid w:val="009E15F7"/>
    <w:rsid w:val="009F388F"/>
    <w:rsid w:val="009F42E5"/>
    <w:rsid w:val="00A055EA"/>
    <w:rsid w:val="00A06F5A"/>
    <w:rsid w:val="00A14F12"/>
    <w:rsid w:val="00A167C4"/>
    <w:rsid w:val="00A175B0"/>
    <w:rsid w:val="00A21440"/>
    <w:rsid w:val="00A27B70"/>
    <w:rsid w:val="00A34556"/>
    <w:rsid w:val="00A349E6"/>
    <w:rsid w:val="00A422A3"/>
    <w:rsid w:val="00A5016C"/>
    <w:rsid w:val="00A50497"/>
    <w:rsid w:val="00A85DC4"/>
    <w:rsid w:val="00A902F2"/>
    <w:rsid w:val="00A96F56"/>
    <w:rsid w:val="00AB45A9"/>
    <w:rsid w:val="00AC3691"/>
    <w:rsid w:val="00AC6E37"/>
    <w:rsid w:val="00AE45C9"/>
    <w:rsid w:val="00AF3BEF"/>
    <w:rsid w:val="00AF45C0"/>
    <w:rsid w:val="00AF7404"/>
    <w:rsid w:val="00B010A2"/>
    <w:rsid w:val="00B03CE7"/>
    <w:rsid w:val="00B14C13"/>
    <w:rsid w:val="00B1585B"/>
    <w:rsid w:val="00B15C40"/>
    <w:rsid w:val="00B3381B"/>
    <w:rsid w:val="00B43846"/>
    <w:rsid w:val="00B45B45"/>
    <w:rsid w:val="00B466A6"/>
    <w:rsid w:val="00B574E5"/>
    <w:rsid w:val="00B62F87"/>
    <w:rsid w:val="00B73900"/>
    <w:rsid w:val="00B93D11"/>
    <w:rsid w:val="00B97F86"/>
    <w:rsid w:val="00BB1D53"/>
    <w:rsid w:val="00BB7D13"/>
    <w:rsid w:val="00BC50D8"/>
    <w:rsid w:val="00BC66BC"/>
    <w:rsid w:val="00BC7195"/>
    <w:rsid w:val="00BD61F4"/>
    <w:rsid w:val="00BD6B5D"/>
    <w:rsid w:val="00BE236C"/>
    <w:rsid w:val="00BE262D"/>
    <w:rsid w:val="00C03AD9"/>
    <w:rsid w:val="00C24A41"/>
    <w:rsid w:val="00C2773C"/>
    <w:rsid w:val="00C3558B"/>
    <w:rsid w:val="00C43A05"/>
    <w:rsid w:val="00C44E12"/>
    <w:rsid w:val="00C510CC"/>
    <w:rsid w:val="00C56F2F"/>
    <w:rsid w:val="00C70A7E"/>
    <w:rsid w:val="00C77527"/>
    <w:rsid w:val="00C8340A"/>
    <w:rsid w:val="00C96F17"/>
    <w:rsid w:val="00CA64D2"/>
    <w:rsid w:val="00CB65D4"/>
    <w:rsid w:val="00CD7F86"/>
    <w:rsid w:val="00CF15E8"/>
    <w:rsid w:val="00CF3E09"/>
    <w:rsid w:val="00CF4752"/>
    <w:rsid w:val="00D207C5"/>
    <w:rsid w:val="00D20993"/>
    <w:rsid w:val="00D22772"/>
    <w:rsid w:val="00D263B5"/>
    <w:rsid w:val="00D41CC8"/>
    <w:rsid w:val="00D42A61"/>
    <w:rsid w:val="00D50AC8"/>
    <w:rsid w:val="00D5602A"/>
    <w:rsid w:val="00D75F52"/>
    <w:rsid w:val="00DA0ABF"/>
    <w:rsid w:val="00DD0833"/>
    <w:rsid w:val="00DD4A69"/>
    <w:rsid w:val="00DE6813"/>
    <w:rsid w:val="00DF0805"/>
    <w:rsid w:val="00E05934"/>
    <w:rsid w:val="00E11412"/>
    <w:rsid w:val="00E12F40"/>
    <w:rsid w:val="00E16582"/>
    <w:rsid w:val="00E2783B"/>
    <w:rsid w:val="00E33DF7"/>
    <w:rsid w:val="00E3452A"/>
    <w:rsid w:val="00E50ED1"/>
    <w:rsid w:val="00E51216"/>
    <w:rsid w:val="00E54C02"/>
    <w:rsid w:val="00E729DE"/>
    <w:rsid w:val="00E76090"/>
    <w:rsid w:val="00E820BF"/>
    <w:rsid w:val="00E9763E"/>
    <w:rsid w:val="00EA21EB"/>
    <w:rsid w:val="00EC7774"/>
    <w:rsid w:val="00ED4E32"/>
    <w:rsid w:val="00EF532E"/>
    <w:rsid w:val="00EF5FC1"/>
    <w:rsid w:val="00F046A7"/>
    <w:rsid w:val="00F30735"/>
    <w:rsid w:val="00F30778"/>
    <w:rsid w:val="00F36551"/>
    <w:rsid w:val="00F433E8"/>
    <w:rsid w:val="00F43D8E"/>
    <w:rsid w:val="00F448AE"/>
    <w:rsid w:val="00F55B2C"/>
    <w:rsid w:val="00F565EE"/>
    <w:rsid w:val="00F600FC"/>
    <w:rsid w:val="00F658A1"/>
    <w:rsid w:val="00F66D8A"/>
    <w:rsid w:val="00F755D3"/>
    <w:rsid w:val="00F77D9B"/>
    <w:rsid w:val="00F85455"/>
    <w:rsid w:val="00F85A1A"/>
    <w:rsid w:val="00F8714B"/>
    <w:rsid w:val="00F9619E"/>
    <w:rsid w:val="00FA40F2"/>
    <w:rsid w:val="00FC064D"/>
    <w:rsid w:val="00FC0C49"/>
    <w:rsid w:val="00FD2F54"/>
    <w:rsid w:val="00FD35EB"/>
    <w:rsid w:val="00FD6356"/>
    <w:rsid w:val="00FE7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8DA8"/>
  <w15:chartTrackingRefBased/>
  <w15:docId w15:val="{C104E553-E7BF-47C8-BACC-5422F82B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2397"/>
    <w:pPr>
      <w:spacing w:after="0" w:line="240" w:lineRule="auto"/>
    </w:pPr>
  </w:style>
  <w:style w:type="table" w:styleId="TableGrid">
    <w:name w:val="Table Grid"/>
    <w:basedOn w:val="TableNormal"/>
    <w:uiPriority w:val="59"/>
    <w:unhideWhenUsed/>
    <w:rsid w:val="00042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Hope College</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Braschler</dc:creator>
  <cp:keywords/>
  <dc:description/>
  <cp:lastModifiedBy>Doug Braschler</cp:lastModifiedBy>
  <cp:revision>2</cp:revision>
  <dcterms:created xsi:type="dcterms:W3CDTF">2023-04-18T15:34:00Z</dcterms:created>
  <dcterms:modified xsi:type="dcterms:W3CDTF">2023-04-18T15:34:00Z</dcterms:modified>
</cp:coreProperties>
</file>